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Особенности рассмотрения споров в сфере ТЭК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508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5081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09508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95081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BFC7DB3" w14:textId="77777777" w:rsidR="0009508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9492208" w:history="1">
            <w:r w:rsidR="00095081"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95081">
              <w:rPr>
                <w:noProof/>
                <w:webHidden/>
              </w:rPr>
              <w:tab/>
            </w:r>
            <w:r w:rsidR="00095081">
              <w:rPr>
                <w:noProof/>
                <w:webHidden/>
              </w:rPr>
              <w:fldChar w:fldCharType="begin"/>
            </w:r>
            <w:r w:rsidR="00095081">
              <w:rPr>
                <w:noProof/>
                <w:webHidden/>
              </w:rPr>
              <w:instrText xml:space="preserve"> PAGEREF _Toc229492208 \h </w:instrText>
            </w:r>
            <w:r w:rsidR="00095081">
              <w:rPr>
                <w:noProof/>
                <w:webHidden/>
              </w:rPr>
            </w:r>
            <w:r w:rsidR="00095081">
              <w:rPr>
                <w:noProof/>
                <w:webHidden/>
              </w:rPr>
              <w:fldChar w:fldCharType="separate"/>
            </w:r>
            <w:r w:rsidR="00095081">
              <w:rPr>
                <w:noProof/>
                <w:webHidden/>
              </w:rPr>
              <w:t>3</w:t>
            </w:r>
            <w:r w:rsidR="00095081">
              <w:rPr>
                <w:noProof/>
                <w:webHidden/>
              </w:rPr>
              <w:fldChar w:fldCharType="end"/>
            </w:r>
          </w:hyperlink>
        </w:p>
        <w:p w14:paraId="606F0648" w14:textId="77777777" w:rsidR="00095081" w:rsidRDefault="000950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09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50D239" w14:textId="77777777" w:rsidR="00095081" w:rsidRDefault="000950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10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9D94EC" w14:textId="77777777" w:rsidR="00095081" w:rsidRDefault="000950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11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6EEC3" w14:textId="77777777" w:rsidR="00095081" w:rsidRDefault="000950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12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E27E31" w14:textId="77777777" w:rsidR="00095081" w:rsidRDefault="000950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13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0FDEFE" w14:textId="77777777" w:rsidR="00095081" w:rsidRDefault="000950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14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EA6ACD" w14:textId="77777777" w:rsidR="00095081" w:rsidRDefault="000950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15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0FFA9D" w14:textId="77777777" w:rsidR="00095081" w:rsidRDefault="000950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16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0E1F17" w14:textId="77777777" w:rsidR="00095081" w:rsidRDefault="000950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17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BAF30" w14:textId="77777777" w:rsidR="00095081" w:rsidRDefault="000950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18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0CAB9D" w14:textId="77777777" w:rsidR="00095081" w:rsidRDefault="000950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19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208471" w14:textId="77777777" w:rsidR="00095081" w:rsidRDefault="000950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20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85DE29" w14:textId="77777777" w:rsidR="00095081" w:rsidRDefault="000950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21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A88F28" w14:textId="77777777" w:rsidR="00095081" w:rsidRDefault="000950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22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88B738" w14:textId="77777777" w:rsidR="00095081" w:rsidRDefault="000950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23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98FF8" w14:textId="77777777" w:rsidR="00095081" w:rsidRDefault="000950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24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4518E1" w14:textId="77777777" w:rsidR="00095081" w:rsidRDefault="000950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2225" w:history="1">
            <w:r w:rsidRPr="00EF38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_Toc229492225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9492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0574243" w:rsidR="00751095" w:rsidRPr="00352B6F" w:rsidRDefault="00095081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выявления, квалификации и разрешения споров, возникающих в сфере топливно-энергетического комплекса (ТЭК), включая их рассмотрение в национальных судах, международном коммерческом арбитраже и специализированных энергетических арбитражных институциях.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Дисциплина ориентирована на подготовку магистров юриспруденции для работы в энергетических компаниях (включая транснациональные корпорации), адвокатских и консалтинговых образованиях, международных арбитражных институциях (МКАС при ТПП РФ, ICSID, CIETAC, LCIA, SCC, Суд ЕАЭС), органах государственной власти, а также для осуществления независимой юридической практики по правовому сопровождению энергетических проектов и представлению интересов сторон в энергетических спорах.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9492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Особенности рассмотрения споров в сфере ТЭК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9492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9508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50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508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508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508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508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508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9508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950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508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50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09508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95081">
              <w:rPr>
                <w:rFonts w:ascii="Times New Roman" w:hAnsi="Times New Roman" w:cs="Times New Roman"/>
              </w:rPr>
              <w:t xml:space="preserve"> обеспечить юридическое сопровождение договорных отношений в области энергетики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50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5081">
              <w:rPr>
                <w:rFonts w:ascii="Times New Roman" w:hAnsi="Times New Roman" w:cs="Times New Roman"/>
                <w:lang w:bidi="ru-RU"/>
              </w:rPr>
              <w:t xml:space="preserve">ПК-4.2 - </w:t>
            </w:r>
            <w:proofErr w:type="gramStart"/>
            <w:r w:rsidRPr="00095081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095081">
              <w:rPr>
                <w:rFonts w:ascii="Times New Roman" w:hAnsi="Times New Roman" w:cs="Times New Roman"/>
                <w:lang w:bidi="ru-RU"/>
              </w:rPr>
              <w:t xml:space="preserve"> осуществлять предупреждение правонарушений в области энергетики, выявлять и устранять причины и условия, способствующие их совершению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50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5081">
              <w:rPr>
                <w:rFonts w:ascii="Times New Roman" w:hAnsi="Times New Roman" w:cs="Times New Roman"/>
              </w:rPr>
              <w:t xml:space="preserve">основные виды правонарушений в сфере ТЭК (нарушения антимонопольного законодательства – злоупотребление доминирующим положением, манипулирование ценами, недискриминационный доступ к сетям и трубопроводам; нарушения лицензионных требований при недропользовании; неисполнение договорных обязательств по поставкам энергоресурсов, транзиту, переработке; экологические правонарушения; нарушения тарифного и технического регулирования; </w:t>
            </w:r>
            <w:proofErr w:type="spellStart"/>
            <w:proofErr w:type="gramStart"/>
            <w:r w:rsidR="00316402" w:rsidRPr="00095081">
              <w:rPr>
                <w:rFonts w:ascii="Times New Roman" w:hAnsi="Times New Roman" w:cs="Times New Roman"/>
              </w:rPr>
              <w:t>санкционные</w:t>
            </w:r>
            <w:proofErr w:type="spellEnd"/>
            <w:r w:rsidR="00316402" w:rsidRPr="00095081">
              <w:rPr>
                <w:rFonts w:ascii="Times New Roman" w:hAnsi="Times New Roman" w:cs="Times New Roman"/>
              </w:rPr>
              <w:t xml:space="preserve"> нарушения), а также типичные причины и условия, способствующие их совершению (правовая неопределенность статуса сетей и трубопроводов, длительный характер </w:t>
            </w:r>
            <w:proofErr w:type="spellStart"/>
            <w:r w:rsidR="00316402" w:rsidRPr="00095081">
              <w:rPr>
                <w:rFonts w:ascii="Times New Roman" w:hAnsi="Times New Roman" w:cs="Times New Roman"/>
              </w:rPr>
              <w:t>энергоконтрактов</w:t>
            </w:r>
            <w:proofErr w:type="spellEnd"/>
            <w:r w:rsidR="00316402" w:rsidRPr="00095081">
              <w:rPr>
                <w:rFonts w:ascii="Times New Roman" w:hAnsi="Times New Roman" w:cs="Times New Roman"/>
              </w:rPr>
              <w:t xml:space="preserve"> при изменении внешнеэкономической обстановки, конфликт юрисдикций, отсутствие унифицированных правил доступа к инфраструктуре, пробелы в законодательстве о трансграничном транзите, форс-мажор и изменение обстоятельств в энергетике), и методы их выявления и устранения.</w:t>
            </w:r>
            <w:r w:rsidRPr="0009508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0950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9508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5081">
              <w:rPr>
                <w:rFonts w:ascii="Times New Roman" w:hAnsi="Times New Roman" w:cs="Times New Roman"/>
              </w:rPr>
              <w:t>осуществлять предупреждение правонарушений в области энергетики при юридическом сопровождении договорных отношений в сфере ТЭК, выявлять и анализировать причины и условия, способствующие их совершению (в том числе путем правовой экспертизы контрактов (</w:t>
            </w:r>
            <w:r w:rsidR="00FD518F" w:rsidRPr="00095081">
              <w:rPr>
                <w:rFonts w:ascii="Times New Roman" w:hAnsi="Times New Roman" w:cs="Times New Roman"/>
                <w:lang w:val="en-US"/>
              </w:rPr>
              <w:t>PSA</w:t>
            </w:r>
            <w:r w:rsidR="00FD518F" w:rsidRPr="00095081">
              <w:rPr>
                <w:rFonts w:ascii="Times New Roman" w:hAnsi="Times New Roman" w:cs="Times New Roman"/>
              </w:rPr>
              <w:t xml:space="preserve">, </w:t>
            </w:r>
            <w:r w:rsidR="00FD518F" w:rsidRPr="00095081">
              <w:rPr>
                <w:rFonts w:ascii="Times New Roman" w:hAnsi="Times New Roman" w:cs="Times New Roman"/>
                <w:lang w:val="en-US"/>
              </w:rPr>
              <w:t>EPC</w:t>
            </w:r>
            <w:r w:rsidR="00FD518F" w:rsidRPr="00095081">
              <w:rPr>
                <w:rFonts w:ascii="Times New Roman" w:hAnsi="Times New Roman" w:cs="Times New Roman"/>
              </w:rPr>
              <w:t xml:space="preserve">, долгосрочные контракты </w:t>
            </w:r>
            <w:r w:rsidR="00FD518F" w:rsidRPr="00095081">
              <w:rPr>
                <w:rFonts w:ascii="Times New Roman" w:hAnsi="Times New Roman" w:cs="Times New Roman"/>
                <w:lang w:val="en-US"/>
              </w:rPr>
              <w:t>take</w:t>
            </w:r>
            <w:r w:rsidR="00FD518F" w:rsidRPr="00095081">
              <w:rPr>
                <w:rFonts w:ascii="Times New Roman" w:hAnsi="Times New Roman" w:cs="Times New Roman"/>
              </w:rPr>
              <w:t>-</w:t>
            </w:r>
            <w:r w:rsidR="00FD518F" w:rsidRPr="00095081">
              <w:rPr>
                <w:rFonts w:ascii="Times New Roman" w:hAnsi="Times New Roman" w:cs="Times New Roman"/>
                <w:lang w:val="en-US"/>
              </w:rPr>
              <w:t>or</w:t>
            </w:r>
            <w:r w:rsidR="00FD518F" w:rsidRPr="00095081">
              <w:rPr>
                <w:rFonts w:ascii="Times New Roman" w:hAnsi="Times New Roman" w:cs="Times New Roman"/>
              </w:rPr>
              <w:t>-</w:t>
            </w:r>
            <w:r w:rsidR="00FD518F" w:rsidRPr="00095081">
              <w:rPr>
                <w:rFonts w:ascii="Times New Roman" w:hAnsi="Times New Roman" w:cs="Times New Roman"/>
                <w:lang w:val="en-US"/>
              </w:rPr>
              <w:t>pay</w:t>
            </w:r>
            <w:r w:rsidR="00FD518F" w:rsidRPr="00095081">
              <w:rPr>
                <w:rFonts w:ascii="Times New Roman" w:hAnsi="Times New Roman" w:cs="Times New Roman"/>
              </w:rPr>
              <w:t xml:space="preserve">, соглашения о транспортировке), аудита систем </w:t>
            </w:r>
            <w:r w:rsidR="00FD518F" w:rsidRPr="00095081">
              <w:rPr>
                <w:rFonts w:ascii="Times New Roman" w:hAnsi="Times New Roman" w:cs="Times New Roman"/>
                <w:lang w:val="en-US"/>
              </w:rPr>
              <w:t>compliance</w:t>
            </w:r>
            <w:r w:rsidR="00FD518F" w:rsidRPr="00095081">
              <w:rPr>
                <w:rFonts w:ascii="Times New Roman" w:hAnsi="Times New Roman" w:cs="Times New Roman"/>
              </w:rPr>
              <w:t xml:space="preserve"> в энергокомпаниях, оценки антимонопольных и экологических рисков), а также разрабатывать и внедрять меры по их устранению с учетом</w:t>
            </w:r>
            <w:proofErr w:type="gramEnd"/>
            <w:r w:rsidR="00FD518F" w:rsidRPr="00095081">
              <w:rPr>
                <w:rFonts w:ascii="Times New Roman" w:hAnsi="Times New Roman" w:cs="Times New Roman"/>
              </w:rPr>
              <w:t xml:space="preserve"> особенностей рассмотрения споров (включая арбитражные оговорки, медиацию, досудебное урегулирование, выбор применимого права и юрисдикции</w:t>
            </w:r>
            <w:proofErr w:type="gramStart"/>
            <w:r w:rsidR="00FD518F" w:rsidRPr="00095081">
              <w:rPr>
                <w:rFonts w:ascii="Times New Roman" w:hAnsi="Times New Roman" w:cs="Times New Roman"/>
              </w:rPr>
              <w:t>).</w:t>
            </w:r>
            <w:r w:rsidRPr="0009508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9508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9508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5081">
              <w:rPr>
                <w:rFonts w:ascii="Times New Roman" w:hAnsi="Times New Roman" w:cs="Times New Roman"/>
              </w:rPr>
              <w:t xml:space="preserve">навыками выявления и устранения причин и условий, способствующих совершению правонарушений в сфере ТЭК, способами их предупреждения при юридическом сопровождении энергетических проектов (внедрение стандартов добросовестной практики, разработка типовых форм контрактов с </w:t>
            </w:r>
            <w:proofErr w:type="spellStart"/>
            <w:r w:rsidR="00FD518F" w:rsidRPr="00095081">
              <w:rPr>
                <w:rFonts w:ascii="Times New Roman" w:hAnsi="Times New Roman" w:cs="Times New Roman"/>
              </w:rPr>
              <w:t>проактивными</w:t>
            </w:r>
            <w:proofErr w:type="spellEnd"/>
            <w:r w:rsidR="00FD518F" w:rsidRPr="00095081">
              <w:rPr>
                <w:rFonts w:ascii="Times New Roman" w:hAnsi="Times New Roman" w:cs="Times New Roman"/>
              </w:rPr>
              <w:t xml:space="preserve"> условиями о разрешении споров, проведение правового мониторинга изменений </w:t>
            </w:r>
            <w:proofErr w:type="spellStart"/>
            <w:r w:rsidR="00FD518F" w:rsidRPr="00095081">
              <w:rPr>
                <w:rFonts w:ascii="Times New Roman" w:hAnsi="Times New Roman" w:cs="Times New Roman"/>
              </w:rPr>
              <w:t>регуляторики</w:t>
            </w:r>
            <w:proofErr w:type="spellEnd"/>
            <w:r w:rsidR="00FD518F" w:rsidRPr="00095081">
              <w:rPr>
                <w:rFonts w:ascii="Times New Roman" w:hAnsi="Times New Roman" w:cs="Times New Roman"/>
              </w:rPr>
              <w:t xml:space="preserve">, обучение персонала правилам антимонопольного </w:t>
            </w:r>
            <w:proofErr w:type="spellStart"/>
            <w:r w:rsidR="00FD518F" w:rsidRPr="00095081">
              <w:rPr>
                <w:rFonts w:ascii="Times New Roman" w:hAnsi="Times New Roman" w:cs="Times New Roman"/>
              </w:rPr>
              <w:t>комплаенса</w:t>
            </w:r>
            <w:proofErr w:type="spellEnd"/>
            <w:r w:rsidR="00FD518F" w:rsidRPr="00095081">
              <w:rPr>
                <w:rFonts w:ascii="Times New Roman" w:hAnsi="Times New Roman" w:cs="Times New Roman"/>
              </w:rPr>
              <w:t xml:space="preserve"> и промышленной безопасности), а также приемами разработки профилактических мер на основе анализа арбитражной и</w:t>
            </w:r>
            <w:proofErr w:type="gramEnd"/>
            <w:r w:rsidR="00FD518F" w:rsidRPr="00095081">
              <w:rPr>
                <w:rFonts w:ascii="Times New Roman" w:hAnsi="Times New Roman" w:cs="Times New Roman"/>
              </w:rPr>
              <w:t xml:space="preserve"> судебной практики по энергетическим спорам для минимизации рисков возникновения аналогичных нарушений в будущем</w:t>
            </w:r>
            <w:proofErr w:type="gramStart"/>
            <w:r w:rsidR="00FD518F" w:rsidRPr="00095081">
              <w:rPr>
                <w:rFonts w:ascii="Times New Roman" w:hAnsi="Times New Roman" w:cs="Times New Roman"/>
              </w:rPr>
              <w:t>.</w:t>
            </w:r>
            <w:r w:rsidRPr="0009508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9508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94922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классификация споров в сфере ТЭК. Юрисдикционные иммунитеты государств в энергетических спорах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вопросы:</w:t>
            </w:r>
            <w:r w:rsidRPr="00352B6F">
              <w:rPr>
                <w:lang w:bidi="ru-RU"/>
              </w:rPr>
              <w:br/>
              <w:t>Понятие и виды споров в сфере ТЭК: межгосударственные, инвестиционные, коммерческие (контрактные), регуляторные, экологические, транзитные.</w:t>
            </w:r>
            <w:r w:rsidRPr="00352B6F">
              <w:rPr>
                <w:lang w:bidi="ru-RU"/>
              </w:rPr>
              <w:br/>
              <w:t>Критерии классификации: субъектный состав, источник правового регулирования, характер правоотношения, применимое право.</w:t>
            </w:r>
            <w:r w:rsidRPr="00352B6F">
              <w:rPr>
                <w:lang w:bidi="ru-RU"/>
              </w:rPr>
              <w:br/>
              <w:t>Юрисдикционный иммунитет государства: понятие, эволюция (абсолютный → функциональный иммунитет).</w:t>
            </w:r>
            <w:r w:rsidRPr="00352B6F">
              <w:rPr>
                <w:lang w:bidi="ru-RU"/>
              </w:rPr>
              <w:br/>
              <w:t>Исключения из иммунитета: коммерческая деятельность (ECA-activity), отказ от иммунитета (явный и подразумеваемый).</w:t>
            </w:r>
            <w:r w:rsidRPr="00352B6F">
              <w:rPr>
                <w:lang w:bidi="ru-RU"/>
              </w:rPr>
              <w:br/>
              <w:t>Доктрина «акта государства» (act of state doctrine) и ее применение в энергетических спорах.</w:t>
            </w:r>
            <w:r w:rsidRPr="00352B6F">
              <w:rPr>
                <w:lang w:bidi="ru-RU"/>
              </w:rPr>
              <w:br/>
              <w:t>Иммунитет государственных энергетических компаний (СОЕ): проблемы приравнивания к государству (attribution).</w:t>
            </w:r>
            <w:r w:rsidRPr="00352B6F">
              <w:rPr>
                <w:lang w:bidi="ru-RU"/>
              </w:rPr>
              <w:br/>
              <w:t>Практическое занятие (семинар):</w:t>
            </w:r>
            <w:r w:rsidRPr="00352B6F">
              <w:rPr>
                <w:lang w:bidi="ru-RU"/>
              </w:rPr>
              <w:br/>
              <w:t>Анализ кейсов: Naftogaz v. Russian Federation (вопросы юрисдикционного иммунитета).</w:t>
            </w:r>
            <w:r w:rsidRPr="00352B6F">
              <w:rPr>
                <w:lang w:bidi="ru-RU"/>
              </w:rPr>
              <w:br/>
              <w:t>Решение ситуационной задачи: определите, пользуется ли государственная нефтяная компания иммунитетом при расторжении контракта на поставку СПГ.</w:t>
            </w:r>
            <w:r w:rsidRPr="00352B6F">
              <w:rPr>
                <w:lang w:bidi="ru-RU"/>
              </w:rPr>
              <w:br/>
              <w:t>Дискуссия: «Оправдано ли ограничение юрисдикционного иммунитета государств в энергетических спорах?»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2D4F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E81B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Арбитражные механизмы разрешения споров в ТЭК:ICSID, PCA, LCIA, ICC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6CFB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вопросы:</w:t>
            </w:r>
            <w:r w:rsidRPr="00352B6F">
              <w:rPr>
                <w:lang w:bidi="ru-RU"/>
              </w:rPr>
              <w:br/>
              <w:t>Система международных арбитражных институтов, рассматривающих энергетические споры: обзор.</w:t>
            </w:r>
            <w:r w:rsidRPr="00352B6F">
              <w:rPr>
                <w:lang w:bidi="ru-RU"/>
              </w:rPr>
              <w:br/>
              <w:t>ICSID (Международный центр по урегулированию инвестиционных споров): процедура, особенности, преимущества и недостатки. Вашингтонская конвенция 1965 г.</w:t>
            </w:r>
            <w:r w:rsidRPr="00352B6F">
              <w:rPr>
                <w:lang w:bidi="ru-RU"/>
              </w:rPr>
              <w:br/>
              <w:t>PCA (Постоянная палата третейского суда): роль в энергетических спорах, Гаагские правила, применение ДЭХ и UNCLOS.</w:t>
            </w:r>
            <w:r w:rsidRPr="00352B6F">
              <w:rPr>
                <w:lang w:bidi="ru-RU"/>
              </w:rPr>
              <w:br/>
              <w:t>LCIA (Лондонский международный третейский суд): специфика рассмотрения коммерческих энергетических споров, правила ускоренного арбитража.</w:t>
            </w:r>
            <w:r w:rsidRPr="00352B6F">
              <w:rPr>
                <w:lang w:bidi="ru-RU"/>
              </w:rPr>
              <w:br/>
              <w:t>ICC (Международная торговая палата): арбитражный регламент, назначение экспертов (ценовые формулы, рыночные условия).</w:t>
            </w:r>
            <w:r w:rsidRPr="00352B6F">
              <w:rPr>
                <w:lang w:bidi="ru-RU"/>
              </w:rPr>
              <w:br/>
              <w:t>Критерии выбора арбитражного института: скорость, стоимость, транспарентность, квалификация арбитров, возможность обеспечительных мер.</w:t>
            </w:r>
            <w:r w:rsidRPr="00352B6F">
              <w:rPr>
                <w:lang w:bidi="ru-RU"/>
              </w:rPr>
              <w:br/>
              <w:t>Альтернативные способы: медиация (CEDR, JAMS), dispute boards в долгосрочных контрактах.</w:t>
            </w:r>
            <w:r w:rsidRPr="00352B6F">
              <w:rPr>
                <w:lang w:bidi="ru-RU"/>
              </w:rPr>
              <w:br/>
              <w:t>Практическое занятие (семинар):</w:t>
            </w:r>
            <w:r w:rsidRPr="00352B6F">
              <w:rPr>
                <w:lang w:bidi="ru-RU"/>
              </w:rPr>
              <w:br/>
              <w:t>Сравнительный анализ арбитражных оговорок (ICC vs ICSID vs LCIA) в гипотетическом контракте купли-продажи газа.</w:t>
            </w:r>
            <w:r w:rsidRPr="00352B6F">
              <w:rPr>
                <w:lang w:bidi="ru-RU"/>
              </w:rPr>
              <w:br/>
              <w:t>Работа с регламентами: процедура назначения арбитров, сроки, обеспечительные меры.</w:t>
            </w:r>
            <w:r w:rsidRPr="00352B6F">
              <w:rPr>
                <w:lang w:bidi="ru-RU"/>
              </w:rPr>
              <w:br/>
              <w:t>Деловая игра: выбор арбитражного института для спора между российской СОЕ и европейским трейдером (обоснование выбора).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00AC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E6F7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0A9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AF6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AE859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3C6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Споры по инвестиционным договорам в энергетике (ДЭХ, ЕЭТ)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4CF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вопросы:</w:t>
            </w:r>
            <w:r w:rsidRPr="00352B6F">
              <w:rPr>
                <w:lang w:bidi="ru-RU"/>
              </w:rPr>
              <w:br/>
              <w:t>Понятие «инвестиции» и «инвестор» в Договоре к Энергетической хартии (ДЭХ) и двусторонних инвестиционных договорах (ДИД).</w:t>
            </w:r>
            <w:r w:rsidRPr="00352B6F">
              <w:rPr>
                <w:lang w:bidi="ru-RU"/>
              </w:rPr>
              <w:br/>
              <w:t>Материально-правовые стандарты защиты: справедливый и равный режим (FET), полная защита и безопасность, недискриминация (национальный режим и режим наибольшего благоприятствования).</w:t>
            </w:r>
            <w:r w:rsidRPr="00352B6F">
              <w:rPr>
                <w:lang w:bidi="ru-RU"/>
              </w:rPr>
              <w:br/>
              <w:t>Экспроприация: прямая, косвенная (регуляторная). Критерии разграничения законной и незаконной экспроприации.</w:t>
            </w:r>
            <w:r w:rsidRPr="00352B6F">
              <w:rPr>
                <w:lang w:bidi="ru-RU"/>
              </w:rPr>
              <w:br/>
              <w:t>Современный кризис ДЭХ: процедура модернизации (2022–2025), выход государств-членов ЕС, последствия для инвестиционных споров.</w:t>
            </w:r>
            <w:r w:rsidRPr="00352B6F">
              <w:rPr>
                <w:lang w:bidi="ru-RU"/>
              </w:rPr>
              <w:br/>
              <w:t>Практика рассмотрения споров по ДЭХ: распределение бремени доказывания, исчисление убытков (дисконтированный денежный поток).</w:t>
            </w:r>
            <w:r w:rsidRPr="00352B6F">
              <w:rPr>
                <w:lang w:bidi="ru-RU"/>
              </w:rPr>
              <w:br/>
              <w:t>Взаимодействие ДЭХ и ДИД: выбор наиболее благоприятного договора (fork in the road clause).</w:t>
            </w:r>
            <w:r w:rsidRPr="00352B6F">
              <w:rPr>
                <w:lang w:bidi="ru-RU"/>
              </w:rPr>
              <w:br/>
              <w:t>Практическое занятие (семинар):</w:t>
            </w:r>
            <w:r w:rsidRPr="00352B6F">
              <w:rPr>
                <w:lang w:bidi="ru-RU"/>
              </w:rPr>
              <w:br/>
              <w:t>Кейс-стади: Vattenfall AB v. Germany (отказ от атомной энергетики как нарушение FET).</w:t>
            </w:r>
            <w:r w:rsidRPr="00352B6F">
              <w:rPr>
                <w:lang w:bidi="ru-RU"/>
              </w:rPr>
              <w:br/>
              <w:t>Кейс-стади: Yukos Universal Limited v. Russian Federation (косвенная экспроприация и вопрос «чистых рук»).</w:t>
            </w:r>
            <w:r w:rsidRPr="00352B6F">
              <w:rPr>
                <w:lang w:bidi="ru-RU"/>
              </w:rPr>
              <w:br/>
              <w:t>Составление краткого меморандума истца по обоснованию нарушения стандарта FET (фабула: резкое снижение «зеленого» тарифа).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9A8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54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9373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CD23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649C3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C6D6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Споры по долгосрочным контрактам (take-or-pay, price review, форс-мажор)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1E4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вопросы:</w:t>
            </w:r>
            <w:r w:rsidRPr="00352B6F">
              <w:rPr>
                <w:lang w:bidi="ru-RU"/>
              </w:rPr>
              <w:br/>
              <w:t>Природа долгосрочных энергетических контрактов (LNG, трубопроводный газ, нефтепродукты). Соотношение стабильности и гибкости.</w:t>
            </w:r>
            <w:r w:rsidRPr="00352B6F">
              <w:rPr>
                <w:lang w:bidi="ru-RU"/>
              </w:rPr>
              <w:br/>
              <w:t>Условие take-or-pay («бери или плати»): правовая квалификация, основания освобождения от обязанности оплаты.</w:t>
            </w:r>
            <w:r w:rsidRPr="00352B6F">
              <w:rPr>
                <w:lang w:bidi="ru-RU"/>
              </w:rPr>
              <w:br/>
              <w:t>Price review clause (пересмотр цены): юридическая природа, триггеры пересмотра (материальное изменение обстоятельств, нарушение баланса интересов), методики расчета (привязка к нефти/нефтепродуктам, хабам).</w:t>
            </w:r>
            <w:r w:rsidRPr="00352B6F">
              <w:rPr>
                <w:lang w:bidi="ru-RU"/>
              </w:rPr>
              <w:br/>
              <w:t>Форс-мажор (force majeure): понятие, критерии (непредвиденность, непредотвратимость, внешний характер). Санкции, пандемия, аварии, военные действия как форс-мажор.</w:t>
            </w:r>
            <w:r w:rsidRPr="00352B6F">
              <w:rPr>
                <w:lang w:bidi="ru-RU"/>
              </w:rPr>
              <w:br/>
              <w:t>Принцип hardship (затруднительности исполнения): отличие от форс-мажора, применение в энергетических спорах.</w:t>
            </w:r>
            <w:r w:rsidRPr="00352B6F">
              <w:rPr>
                <w:lang w:bidi="ru-RU"/>
              </w:rPr>
              <w:br/>
              <w:t>Судебная и арбитражная практика (ICC, LCIA) по долгосрочным контрактам: подходы к расчету убытков при невыборке газа.</w:t>
            </w:r>
            <w:r w:rsidRPr="00352B6F">
              <w:rPr>
                <w:lang w:bidi="ru-RU"/>
              </w:rPr>
              <w:br/>
              <w:t>Практическое занятие (семинар):</w:t>
            </w:r>
            <w:r w:rsidRPr="00352B6F">
              <w:rPr>
                <w:lang w:bidi="ru-RU"/>
              </w:rPr>
              <w:br/>
              <w:t>Решение ситуационной задачи: покупатель не выбрал 40% законтрактованного газа, ссылаясь на падение спроса из-за COVID-19 (форс-мажор или экономический риск?).</w:t>
            </w:r>
            <w:r w:rsidRPr="00352B6F">
              <w:rPr>
                <w:lang w:bidi="ru-RU"/>
              </w:rPr>
              <w:br/>
              <w:t>Расчет убытков по take-or-pay: короткая позиция (краткое письменное обоснование).</w:t>
            </w:r>
            <w:r w:rsidRPr="00352B6F">
              <w:rPr>
                <w:lang w:bidi="ru-RU"/>
              </w:rPr>
              <w:br/>
              <w:t>Юридическая консультация: оценка рисков price review при падении цен на газ на 60%.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88BE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0123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B1ED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E571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9A8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E726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Споры в сфере трансграничной трубопроводной транспортировки и морского энергоправа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F5A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вопросы:</w:t>
            </w:r>
            <w:r w:rsidRPr="00352B6F">
              <w:rPr>
                <w:lang w:bidi="ru-RU"/>
              </w:rPr>
              <w:br/>
              <w:t>Специфика трансграничных энергетических споров: транзит, доступ к мощностям, тарифы, экологические требования.</w:t>
            </w:r>
            <w:r w:rsidRPr="00352B6F">
              <w:rPr>
                <w:lang w:bidi="ru-RU"/>
              </w:rPr>
              <w:br/>
              <w:t>Правовое регулирование транзита: статья 7 ДЭХ (обязательства не снижать транзитные потоки, недискриминация).</w:t>
            </w:r>
            <w:r w:rsidRPr="00352B6F">
              <w:rPr>
                <w:lang w:bidi="ru-RU"/>
              </w:rPr>
              <w:br/>
              <w:t>Споры по транзиту в практике арбитражей (PCA): кейсы Yukos, Naftogaz, транзитные разбирательства «Газпром – Украина».</w:t>
            </w:r>
            <w:r w:rsidRPr="00352B6F">
              <w:rPr>
                <w:lang w:bidi="ru-RU"/>
              </w:rPr>
              <w:br/>
              <w:t>Морское энергетическое право: делимитация исключительной экономической зоны (ИЭЗ) и континентального шельфа (UNCLOS).</w:t>
            </w:r>
            <w:r w:rsidRPr="00352B6F">
              <w:rPr>
                <w:lang w:bidi="ru-RU"/>
              </w:rPr>
              <w:br/>
              <w:t>Споры о разведке и разработке морских месторождений (Южно-Китайское море, Черное море, Арктика).</w:t>
            </w:r>
            <w:r w:rsidRPr="00352B6F">
              <w:rPr>
                <w:lang w:bidi="ru-RU"/>
              </w:rPr>
              <w:br/>
              <w:t>Экологические споры: инциденты на платформах (Deepwater Horizon), разливы нефти, обязательства по международным конвенциям (CLC, Bunker Convention).</w:t>
            </w:r>
            <w:r w:rsidRPr="00352B6F">
              <w:rPr>
                <w:lang w:bidi="ru-RU"/>
              </w:rPr>
              <w:br/>
              <w:t>Роль Постоянной палаты третейского суда (PCA) и Международного суда ООН в морских энергетических спорах.</w:t>
            </w:r>
            <w:r w:rsidRPr="00352B6F">
              <w:rPr>
                <w:lang w:bidi="ru-RU"/>
              </w:rPr>
              <w:br/>
              <w:t>Практическое занятие (семинар):</w:t>
            </w:r>
            <w:r w:rsidRPr="00352B6F">
              <w:rPr>
                <w:lang w:bidi="ru-RU"/>
              </w:rPr>
              <w:br/>
              <w:t>Кейс-стади: толкование статьи 7 ДЭХ в деле Transit dispute between Russian Federation and Ukraine.</w:t>
            </w:r>
            <w:r w:rsidRPr="00352B6F">
              <w:rPr>
                <w:lang w:bidi="ru-RU"/>
              </w:rPr>
              <w:br/>
              <w:t>Ролевая игра: арбитражное слушание по вопросу о временных мерах (приостановка строительства LNG-терминала в порту из-за экологического ущерба).</w:t>
            </w:r>
            <w:r w:rsidRPr="00352B6F">
              <w:rPr>
                <w:lang w:bidi="ru-RU"/>
              </w:rPr>
              <w:br/>
              <w:t>Анализ решения по делу Enrica Lexie (попутный энергетический контекст: защита платформ).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561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6EEB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6062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BE82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2B6D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016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Споры с участием государственных энергокомпаний (СОЕ) и защита прав инвесторов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9C11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вопросы:</w:t>
            </w:r>
            <w:r w:rsidRPr="00352B6F">
              <w:rPr>
                <w:lang w:bidi="ru-RU"/>
              </w:rPr>
              <w:br/>
              <w:t>Государственные энергетические компании (СОЕ): понятие, виды (интегрированные, сервисные, транспортные), правовой статус.</w:t>
            </w:r>
            <w:r w:rsidRPr="00352B6F">
              <w:rPr>
                <w:lang w:bidi="ru-RU"/>
              </w:rPr>
              <w:br/>
              <w:t>Проблема attribution (вменения действий СОЕ государству): критерии фактического контроля (ICJ, арбитражная практика).</w:t>
            </w:r>
            <w:r w:rsidRPr="00352B6F">
              <w:rPr>
                <w:lang w:bidi="ru-RU"/>
              </w:rPr>
              <w:br/>
              <w:t>Коммерческая деятельность СОЕ vs. осуществление государственных прерогатив (impact on jurisdictional immunity).</w:t>
            </w:r>
            <w:r w:rsidRPr="00352B6F">
              <w:rPr>
                <w:lang w:bidi="ru-RU"/>
              </w:rPr>
              <w:br/>
              <w:t>Защита прав инвесторов при национализации, секвестре активов, изменении налогового и тарифного регулирования.</w:t>
            </w:r>
            <w:r w:rsidRPr="00352B6F">
              <w:rPr>
                <w:lang w:bidi="ru-RU"/>
              </w:rPr>
              <w:br/>
              <w:t>Способы защиты: прямые переговоры, инвестиционный арбитраж, коммерческий арбитраж, медиация.</w:t>
            </w:r>
            <w:r w:rsidRPr="00352B6F">
              <w:rPr>
                <w:lang w:bidi="ru-RU"/>
              </w:rPr>
              <w:br/>
              <w:t>Обеспечительные меры (interim measures) в спорах с участием СОЕ: арест активов, запрет на перевод средств.</w:t>
            </w:r>
            <w:r w:rsidRPr="00352B6F">
              <w:rPr>
                <w:lang w:bidi="ru-RU"/>
              </w:rPr>
              <w:br/>
              <w:t>Альтернативы арбитражу: энергетический омбудсмен, dispute avoidance boards, early neutral evaluation.</w:t>
            </w:r>
            <w:r w:rsidRPr="00352B6F">
              <w:rPr>
                <w:lang w:bidi="ru-RU"/>
              </w:rPr>
              <w:br/>
              <w:t>Практическое занятие (семинар):</w:t>
            </w:r>
            <w:r w:rsidRPr="00352B6F">
              <w:rPr>
                <w:lang w:bidi="ru-RU"/>
              </w:rPr>
              <w:br/>
              <w:t>Кейс-стади: ConocoPhillips Petrozuata B.V. v. Venezuela (действия PDVSA как государственного органа).</w:t>
            </w:r>
            <w:r w:rsidRPr="00352B6F">
              <w:rPr>
                <w:lang w:bidi="ru-RU"/>
              </w:rPr>
              <w:br/>
              <w:t>Кейс-стади: RosInvestCo v. Russian Federation (косвенная экспроприация через действия СОЕ).</w:t>
            </w:r>
            <w:r w:rsidRPr="00352B6F">
              <w:rPr>
                <w:lang w:bidi="ru-RU"/>
              </w:rPr>
              <w:br/>
              <w:t>Деловая игра: составление досудебной претензии иностранного инвестора (европейская энергокомпания) к национальной СОЕ об отказе в допуске к газотранспортной системе.</w:t>
            </w:r>
            <w:r w:rsidRPr="00352B6F">
              <w:rPr>
                <w:lang w:bidi="ru-RU"/>
              </w:rPr>
              <w:br/>
              <w:t>Дискуссия: «Может ли СОЕ ссылаться на государственный иммунитет при неисполнении коммерческого контракта с иностранным партнером?»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50D8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4F1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67D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5E1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94922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94922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8"/>
        <w:gridCol w:w="37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950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Туктамышев</w:t>
            </w:r>
            <w:proofErr w:type="spell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, В. Д. Компетенция третейского суда: общая характеристика и </w:t>
            </w:r>
            <w:proofErr w:type="spellStart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арбитрабельность</w:t>
            </w:r>
            <w:proofErr w:type="spell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споров</w:t>
            </w:r>
            <w:proofErr w:type="gramStart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Д. </w:t>
            </w:r>
            <w:proofErr w:type="spellStart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Туктамышев</w:t>
            </w:r>
            <w:proofErr w:type="spell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2025. — 264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978-5-8354-2114-5.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— Текст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/513124 (дата обращения: 09.05.2026). — Режим доступа: для </w:t>
            </w:r>
            <w:proofErr w:type="spellStart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95081" w:rsidRDefault="00F229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https://reader.lanbook.com/book/513124</w:t>
              </w:r>
            </w:hyperlink>
          </w:p>
        </w:tc>
      </w:tr>
      <w:tr w:rsidR="00262CF0" w:rsidRPr="007E6725" w14:paraId="045B4A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0BB90C" w14:textId="77777777" w:rsidR="00262CF0" w:rsidRPr="000950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Севастьянов, Г. В. Правовая природа третейского разбирательства как института альтернативного разрешения споров (частного процессуального права)</w:t>
            </w:r>
            <w:proofErr w:type="gramStart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Г. В. Севастьянов. — Москва</w:t>
            </w:r>
            <w:proofErr w:type="gramStart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2015. — 464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978-5-8354-1151-1.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— Текст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95081">
              <w:rPr>
                <w:rFonts w:ascii="Times New Roman" w:hAnsi="Times New Roman" w:cs="Times New Roman"/>
                <w:sz w:val="24"/>
                <w:szCs w:val="24"/>
              </w:rPr>
              <w:t xml:space="preserve">/75063 (дата обращения: 09.05.2026). — Режим доступа: для </w:t>
            </w:r>
            <w:proofErr w:type="spellStart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095081">
              <w:rPr>
                <w:rFonts w:ascii="Times New Roman" w:hAnsi="Times New Roman" w:cs="Times New Roman"/>
                <w:sz w:val="24"/>
                <w:szCs w:val="24"/>
              </w:rPr>
              <w:t>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C6D80D" w14:textId="77777777" w:rsidR="00262CF0" w:rsidRPr="00095081" w:rsidRDefault="00F229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https://reader.lanbook.com/book/75063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94922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D33314" w14:textId="77777777" w:rsidTr="007B550D">
        <w:tc>
          <w:tcPr>
            <w:tcW w:w="9345" w:type="dxa"/>
          </w:tcPr>
          <w:p w14:paraId="3D4AEF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515D39" w14:textId="77777777" w:rsidTr="007B550D">
        <w:tc>
          <w:tcPr>
            <w:tcW w:w="9345" w:type="dxa"/>
          </w:tcPr>
          <w:p w14:paraId="075B72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18F0B5" w14:textId="77777777" w:rsidTr="007B550D">
        <w:tc>
          <w:tcPr>
            <w:tcW w:w="9345" w:type="dxa"/>
          </w:tcPr>
          <w:p w14:paraId="7E7239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94922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229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9492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9508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9508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9508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9508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9508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9508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950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508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95081">
              <w:rPr>
                <w:sz w:val="22"/>
                <w:szCs w:val="22"/>
              </w:rPr>
              <w:t>комплексом</w:t>
            </w:r>
            <w:proofErr w:type="gramStart"/>
            <w:r w:rsidRPr="00095081">
              <w:rPr>
                <w:sz w:val="22"/>
                <w:szCs w:val="22"/>
              </w:rPr>
              <w:t>.С</w:t>
            </w:r>
            <w:proofErr w:type="gramEnd"/>
            <w:r w:rsidRPr="00095081">
              <w:rPr>
                <w:sz w:val="22"/>
                <w:szCs w:val="22"/>
              </w:rPr>
              <w:t>пециализированная</w:t>
            </w:r>
            <w:proofErr w:type="spellEnd"/>
            <w:r w:rsidRPr="0009508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95081">
              <w:rPr>
                <w:sz w:val="22"/>
                <w:szCs w:val="22"/>
              </w:rPr>
              <w:t>.К</w:t>
            </w:r>
            <w:proofErr w:type="gramEnd"/>
            <w:r w:rsidRPr="00095081">
              <w:rPr>
                <w:sz w:val="22"/>
                <w:szCs w:val="22"/>
              </w:rPr>
              <w:t xml:space="preserve">омпьютер </w:t>
            </w:r>
            <w:r w:rsidRPr="00095081">
              <w:rPr>
                <w:sz w:val="22"/>
                <w:szCs w:val="22"/>
                <w:lang w:val="en-US"/>
              </w:rPr>
              <w:t>Intel</w:t>
            </w:r>
            <w:r w:rsidRPr="00095081">
              <w:rPr>
                <w:sz w:val="22"/>
                <w:szCs w:val="22"/>
              </w:rPr>
              <w:t xml:space="preserve"> </w:t>
            </w:r>
            <w:r w:rsidRPr="00095081">
              <w:rPr>
                <w:sz w:val="22"/>
                <w:szCs w:val="22"/>
                <w:lang w:val="en-US"/>
              </w:rPr>
              <w:t>I</w:t>
            </w:r>
            <w:r w:rsidRPr="00095081">
              <w:rPr>
                <w:sz w:val="22"/>
                <w:szCs w:val="22"/>
              </w:rPr>
              <w:t>5-7400/16</w:t>
            </w:r>
            <w:r w:rsidRPr="00095081">
              <w:rPr>
                <w:sz w:val="22"/>
                <w:szCs w:val="22"/>
                <w:lang w:val="en-US"/>
              </w:rPr>
              <w:t>Gb</w:t>
            </w:r>
            <w:r w:rsidRPr="00095081">
              <w:rPr>
                <w:sz w:val="22"/>
                <w:szCs w:val="22"/>
              </w:rPr>
              <w:t>/1</w:t>
            </w:r>
            <w:r w:rsidRPr="00095081">
              <w:rPr>
                <w:sz w:val="22"/>
                <w:szCs w:val="22"/>
                <w:lang w:val="en-US"/>
              </w:rPr>
              <w:t>Tb</w:t>
            </w:r>
            <w:r w:rsidRPr="00095081">
              <w:rPr>
                <w:sz w:val="22"/>
                <w:szCs w:val="22"/>
              </w:rPr>
              <w:t xml:space="preserve">/ видеокарта </w:t>
            </w:r>
            <w:r w:rsidRPr="00095081">
              <w:rPr>
                <w:sz w:val="22"/>
                <w:szCs w:val="22"/>
                <w:lang w:val="en-US"/>
              </w:rPr>
              <w:t>NVIDIA</w:t>
            </w:r>
            <w:r w:rsidRPr="00095081">
              <w:rPr>
                <w:sz w:val="22"/>
                <w:szCs w:val="22"/>
              </w:rPr>
              <w:t xml:space="preserve"> </w:t>
            </w:r>
            <w:r w:rsidRPr="00095081">
              <w:rPr>
                <w:sz w:val="22"/>
                <w:szCs w:val="22"/>
                <w:lang w:val="en-US"/>
              </w:rPr>
              <w:t>GeForce</w:t>
            </w:r>
            <w:r w:rsidRPr="00095081">
              <w:rPr>
                <w:sz w:val="22"/>
                <w:szCs w:val="22"/>
              </w:rPr>
              <w:t xml:space="preserve"> </w:t>
            </w:r>
            <w:r w:rsidRPr="00095081">
              <w:rPr>
                <w:sz w:val="22"/>
                <w:szCs w:val="22"/>
                <w:lang w:val="en-US"/>
              </w:rPr>
              <w:t>GT</w:t>
            </w:r>
            <w:r w:rsidRPr="00095081">
              <w:rPr>
                <w:sz w:val="22"/>
                <w:szCs w:val="22"/>
              </w:rPr>
              <w:t xml:space="preserve"> 710/Монитор </w:t>
            </w:r>
            <w:r w:rsidRPr="00095081">
              <w:rPr>
                <w:sz w:val="22"/>
                <w:szCs w:val="22"/>
                <w:lang w:val="en-US"/>
              </w:rPr>
              <w:t>DELL</w:t>
            </w:r>
            <w:r w:rsidRPr="00095081">
              <w:rPr>
                <w:sz w:val="22"/>
                <w:szCs w:val="22"/>
              </w:rPr>
              <w:t xml:space="preserve"> </w:t>
            </w:r>
            <w:r w:rsidRPr="00095081">
              <w:rPr>
                <w:sz w:val="22"/>
                <w:szCs w:val="22"/>
                <w:lang w:val="en-US"/>
              </w:rPr>
              <w:t>S</w:t>
            </w:r>
            <w:r w:rsidRPr="00095081">
              <w:rPr>
                <w:sz w:val="22"/>
                <w:szCs w:val="22"/>
              </w:rPr>
              <w:t>2218</w:t>
            </w:r>
            <w:r w:rsidRPr="00095081">
              <w:rPr>
                <w:sz w:val="22"/>
                <w:szCs w:val="22"/>
                <w:lang w:val="en-US"/>
              </w:rPr>
              <w:t>H</w:t>
            </w:r>
            <w:r w:rsidRPr="0009508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9508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95081">
              <w:rPr>
                <w:sz w:val="22"/>
                <w:szCs w:val="22"/>
              </w:rPr>
              <w:t xml:space="preserve"> </w:t>
            </w:r>
            <w:r w:rsidRPr="00095081">
              <w:rPr>
                <w:sz w:val="22"/>
                <w:szCs w:val="22"/>
                <w:lang w:val="en-US"/>
              </w:rPr>
              <w:t>Switch</w:t>
            </w:r>
            <w:r w:rsidRPr="0009508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9508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95081">
              <w:rPr>
                <w:sz w:val="22"/>
                <w:szCs w:val="22"/>
              </w:rPr>
              <w:t xml:space="preserve"> </w:t>
            </w:r>
            <w:r w:rsidRPr="00095081">
              <w:rPr>
                <w:sz w:val="22"/>
                <w:szCs w:val="22"/>
                <w:lang w:val="en-US"/>
              </w:rPr>
              <w:t>x</w:t>
            </w:r>
            <w:r w:rsidRPr="0009508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95081">
              <w:rPr>
                <w:sz w:val="22"/>
                <w:szCs w:val="22"/>
              </w:rPr>
              <w:t>подпружинен</w:t>
            </w:r>
            <w:proofErr w:type="gramStart"/>
            <w:r w:rsidRPr="00095081">
              <w:rPr>
                <w:sz w:val="22"/>
                <w:szCs w:val="22"/>
              </w:rPr>
              <w:t>.р</w:t>
            </w:r>
            <w:proofErr w:type="gramEnd"/>
            <w:r w:rsidRPr="00095081">
              <w:rPr>
                <w:sz w:val="22"/>
                <w:szCs w:val="22"/>
              </w:rPr>
              <w:t>учной</w:t>
            </w:r>
            <w:proofErr w:type="spellEnd"/>
            <w:r w:rsidRPr="00095081">
              <w:rPr>
                <w:sz w:val="22"/>
                <w:szCs w:val="22"/>
              </w:rPr>
              <w:t xml:space="preserve"> </w:t>
            </w:r>
            <w:r w:rsidRPr="00095081">
              <w:rPr>
                <w:sz w:val="22"/>
                <w:szCs w:val="22"/>
                <w:lang w:val="en-US"/>
              </w:rPr>
              <w:t>MW</w:t>
            </w:r>
            <w:r w:rsidRPr="00095081">
              <w:rPr>
                <w:sz w:val="22"/>
                <w:szCs w:val="22"/>
              </w:rPr>
              <w:t xml:space="preserve"> </w:t>
            </w:r>
            <w:proofErr w:type="spellStart"/>
            <w:r w:rsidRPr="0009508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95081">
              <w:rPr>
                <w:sz w:val="22"/>
                <w:szCs w:val="22"/>
              </w:rPr>
              <w:t xml:space="preserve"> 200х200см (</w:t>
            </w:r>
            <w:r w:rsidRPr="00095081">
              <w:rPr>
                <w:sz w:val="22"/>
                <w:szCs w:val="22"/>
                <w:lang w:val="en-US"/>
              </w:rPr>
              <w:t>S</w:t>
            </w:r>
            <w:r w:rsidRPr="00095081">
              <w:rPr>
                <w:sz w:val="22"/>
                <w:szCs w:val="22"/>
              </w:rPr>
              <w:t>/</w:t>
            </w:r>
            <w:r w:rsidRPr="00095081">
              <w:rPr>
                <w:sz w:val="22"/>
                <w:szCs w:val="22"/>
                <w:lang w:val="en-US"/>
              </w:rPr>
              <w:t>N</w:t>
            </w:r>
            <w:r w:rsidRPr="0009508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950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50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95081" w14:paraId="7CCF8E3C" w14:textId="77777777" w:rsidTr="008416EB">
        <w:tc>
          <w:tcPr>
            <w:tcW w:w="7797" w:type="dxa"/>
            <w:shd w:val="clear" w:color="auto" w:fill="auto"/>
          </w:tcPr>
          <w:p w14:paraId="7AD74444" w14:textId="77777777" w:rsidR="002C735C" w:rsidRPr="000950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5081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5081">
              <w:rPr>
                <w:sz w:val="22"/>
                <w:szCs w:val="22"/>
              </w:rPr>
              <w:t>комплексом</w:t>
            </w:r>
            <w:proofErr w:type="gramStart"/>
            <w:r w:rsidRPr="00095081">
              <w:rPr>
                <w:sz w:val="22"/>
                <w:szCs w:val="22"/>
              </w:rPr>
              <w:t>.С</w:t>
            </w:r>
            <w:proofErr w:type="gramEnd"/>
            <w:r w:rsidRPr="00095081">
              <w:rPr>
                <w:sz w:val="22"/>
                <w:szCs w:val="22"/>
              </w:rPr>
              <w:t>пециализированная</w:t>
            </w:r>
            <w:proofErr w:type="spellEnd"/>
            <w:r w:rsidRPr="0009508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95081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095081">
              <w:rPr>
                <w:sz w:val="22"/>
                <w:szCs w:val="22"/>
                <w:lang w:val="en-US"/>
              </w:rPr>
              <w:t>Intel</w:t>
            </w:r>
            <w:r w:rsidRPr="00095081">
              <w:rPr>
                <w:sz w:val="22"/>
                <w:szCs w:val="22"/>
              </w:rPr>
              <w:t xml:space="preserve"> </w:t>
            </w:r>
            <w:proofErr w:type="spellStart"/>
            <w:r w:rsidRPr="000950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5081">
              <w:rPr>
                <w:sz w:val="22"/>
                <w:szCs w:val="22"/>
              </w:rPr>
              <w:t xml:space="preserve">3-2100 2.4 </w:t>
            </w:r>
            <w:proofErr w:type="spellStart"/>
            <w:r w:rsidRPr="0009508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95081">
              <w:rPr>
                <w:sz w:val="22"/>
                <w:szCs w:val="22"/>
              </w:rPr>
              <w:t>/500/4/</w:t>
            </w:r>
            <w:r w:rsidRPr="00095081">
              <w:rPr>
                <w:sz w:val="22"/>
                <w:szCs w:val="22"/>
                <w:lang w:val="en-US"/>
              </w:rPr>
              <w:t>Acer</w:t>
            </w:r>
            <w:r w:rsidRPr="00095081">
              <w:rPr>
                <w:sz w:val="22"/>
                <w:szCs w:val="22"/>
              </w:rPr>
              <w:t xml:space="preserve"> </w:t>
            </w:r>
            <w:r w:rsidRPr="00095081">
              <w:rPr>
                <w:sz w:val="22"/>
                <w:szCs w:val="22"/>
                <w:lang w:val="en-US"/>
              </w:rPr>
              <w:t>V</w:t>
            </w:r>
            <w:r w:rsidRPr="0009508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95081">
              <w:rPr>
                <w:sz w:val="22"/>
                <w:szCs w:val="22"/>
                <w:lang w:val="en-US"/>
              </w:rPr>
              <w:t>Epson</w:t>
            </w:r>
            <w:r w:rsidRPr="00095081">
              <w:rPr>
                <w:sz w:val="22"/>
                <w:szCs w:val="22"/>
              </w:rPr>
              <w:t>-</w:t>
            </w:r>
            <w:r w:rsidRPr="00095081">
              <w:rPr>
                <w:sz w:val="22"/>
                <w:szCs w:val="22"/>
                <w:lang w:val="en-US"/>
              </w:rPr>
              <w:t>EB</w:t>
            </w:r>
            <w:r w:rsidRPr="00095081">
              <w:rPr>
                <w:sz w:val="22"/>
                <w:szCs w:val="22"/>
              </w:rPr>
              <w:t>-455</w:t>
            </w:r>
            <w:r w:rsidRPr="00095081">
              <w:rPr>
                <w:sz w:val="22"/>
                <w:szCs w:val="22"/>
                <w:lang w:val="en-US"/>
              </w:rPr>
              <w:t>Wi</w:t>
            </w:r>
            <w:r w:rsidRPr="0009508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F62CFED" w14:textId="77777777" w:rsidR="002C735C" w:rsidRPr="000950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50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95081" w14:paraId="2E8B48FD" w14:textId="77777777" w:rsidTr="008416EB">
        <w:tc>
          <w:tcPr>
            <w:tcW w:w="7797" w:type="dxa"/>
            <w:shd w:val="clear" w:color="auto" w:fill="auto"/>
          </w:tcPr>
          <w:p w14:paraId="41909D84" w14:textId="77777777" w:rsidR="002C735C" w:rsidRPr="000950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5081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5081">
              <w:rPr>
                <w:sz w:val="22"/>
                <w:szCs w:val="22"/>
              </w:rPr>
              <w:t>комплексом</w:t>
            </w:r>
            <w:proofErr w:type="gramStart"/>
            <w:r w:rsidRPr="00095081">
              <w:rPr>
                <w:sz w:val="22"/>
                <w:szCs w:val="22"/>
              </w:rPr>
              <w:t>.С</w:t>
            </w:r>
            <w:proofErr w:type="gramEnd"/>
            <w:r w:rsidRPr="00095081">
              <w:rPr>
                <w:sz w:val="22"/>
                <w:szCs w:val="22"/>
              </w:rPr>
              <w:t>пециализированная</w:t>
            </w:r>
            <w:proofErr w:type="spellEnd"/>
            <w:r w:rsidRPr="00095081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095081">
              <w:rPr>
                <w:sz w:val="22"/>
                <w:szCs w:val="22"/>
              </w:rPr>
              <w:t>посадочных</w:t>
            </w:r>
            <w:proofErr w:type="gramEnd"/>
            <w:r w:rsidRPr="00095081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095081">
              <w:rPr>
                <w:sz w:val="22"/>
                <w:szCs w:val="22"/>
              </w:rPr>
              <w:t xml:space="preserve">Компьютер </w:t>
            </w:r>
            <w:r w:rsidRPr="00095081">
              <w:rPr>
                <w:sz w:val="22"/>
                <w:szCs w:val="22"/>
                <w:lang w:val="en-US"/>
              </w:rPr>
              <w:t>Intel</w:t>
            </w:r>
            <w:r w:rsidRPr="00095081">
              <w:rPr>
                <w:sz w:val="22"/>
                <w:szCs w:val="22"/>
              </w:rPr>
              <w:t xml:space="preserve"> </w:t>
            </w:r>
            <w:proofErr w:type="spellStart"/>
            <w:r w:rsidRPr="000950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5081">
              <w:rPr>
                <w:sz w:val="22"/>
                <w:szCs w:val="22"/>
              </w:rPr>
              <w:t xml:space="preserve">3-2100 2.4 </w:t>
            </w:r>
            <w:proofErr w:type="spellStart"/>
            <w:r w:rsidRPr="0009508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95081">
              <w:rPr>
                <w:sz w:val="22"/>
                <w:szCs w:val="22"/>
              </w:rPr>
              <w:t>/500/4/</w:t>
            </w:r>
            <w:r w:rsidRPr="00095081">
              <w:rPr>
                <w:sz w:val="22"/>
                <w:szCs w:val="22"/>
                <w:lang w:val="en-US"/>
              </w:rPr>
              <w:t>Acer</w:t>
            </w:r>
            <w:r w:rsidRPr="00095081">
              <w:rPr>
                <w:sz w:val="22"/>
                <w:szCs w:val="22"/>
              </w:rPr>
              <w:t xml:space="preserve"> </w:t>
            </w:r>
            <w:r w:rsidRPr="00095081">
              <w:rPr>
                <w:sz w:val="22"/>
                <w:szCs w:val="22"/>
                <w:lang w:val="en-US"/>
              </w:rPr>
              <w:t>V</w:t>
            </w:r>
            <w:r w:rsidRPr="00095081">
              <w:rPr>
                <w:sz w:val="22"/>
                <w:szCs w:val="22"/>
              </w:rPr>
              <w:t xml:space="preserve">193 19" - 1 шт., Проектор </w:t>
            </w:r>
            <w:r w:rsidRPr="00095081">
              <w:rPr>
                <w:sz w:val="22"/>
                <w:szCs w:val="22"/>
                <w:lang w:val="en-US"/>
              </w:rPr>
              <w:t>Epson</w:t>
            </w:r>
            <w:r w:rsidRPr="00095081">
              <w:rPr>
                <w:sz w:val="22"/>
                <w:szCs w:val="22"/>
              </w:rPr>
              <w:t xml:space="preserve"> </w:t>
            </w:r>
            <w:r w:rsidRPr="00095081">
              <w:rPr>
                <w:sz w:val="22"/>
                <w:szCs w:val="22"/>
                <w:lang w:val="en-US"/>
              </w:rPr>
              <w:t>EB</w:t>
            </w:r>
            <w:r w:rsidRPr="00095081">
              <w:rPr>
                <w:sz w:val="22"/>
                <w:szCs w:val="22"/>
              </w:rPr>
              <w:t xml:space="preserve"> 410</w:t>
            </w:r>
            <w:r w:rsidRPr="00095081">
              <w:rPr>
                <w:sz w:val="22"/>
                <w:szCs w:val="22"/>
                <w:lang w:val="en-US"/>
              </w:rPr>
              <w:t>W</w:t>
            </w:r>
            <w:r w:rsidRPr="00095081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095081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095081">
              <w:rPr>
                <w:sz w:val="22"/>
                <w:szCs w:val="22"/>
              </w:rPr>
              <w:t xml:space="preserve"> </w:t>
            </w:r>
            <w:proofErr w:type="spellStart"/>
            <w:r w:rsidRPr="00095081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095081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095081">
              <w:rPr>
                <w:sz w:val="22"/>
                <w:szCs w:val="22"/>
                <w:lang w:val="en-US"/>
              </w:rPr>
              <w:t>Wi</w:t>
            </w:r>
            <w:r w:rsidRPr="00095081">
              <w:rPr>
                <w:sz w:val="22"/>
                <w:szCs w:val="22"/>
              </w:rPr>
              <w:t>-</w:t>
            </w:r>
            <w:r w:rsidRPr="00095081">
              <w:rPr>
                <w:sz w:val="22"/>
                <w:szCs w:val="22"/>
                <w:lang w:val="en-US"/>
              </w:rPr>
              <w:t>Fi</w:t>
            </w:r>
            <w:r w:rsidRPr="00095081">
              <w:rPr>
                <w:sz w:val="22"/>
                <w:szCs w:val="22"/>
              </w:rPr>
              <w:t xml:space="preserve"> Тип 2 </w:t>
            </w:r>
            <w:r w:rsidRPr="00095081">
              <w:rPr>
                <w:sz w:val="22"/>
                <w:szCs w:val="22"/>
                <w:lang w:val="en-US"/>
              </w:rPr>
              <w:t>UBIQUITI</w:t>
            </w:r>
            <w:r w:rsidRPr="00095081">
              <w:rPr>
                <w:sz w:val="22"/>
                <w:szCs w:val="22"/>
              </w:rPr>
              <w:t xml:space="preserve"> </w:t>
            </w:r>
            <w:r w:rsidRPr="00095081">
              <w:rPr>
                <w:sz w:val="22"/>
                <w:szCs w:val="22"/>
                <w:lang w:val="en-US"/>
              </w:rPr>
              <w:t>UAP</w:t>
            </w:r>
            <w:r w:rsidRPr="00095081">
              <w:rPr>
                <w:sz w:val="22"/>
                <w:szCs w:val="22"/>
              </w:rPr>
              <w:t>-</w:t>
            </w:r>
            <w:r w:rsidRPr="00095081">
              <w:rPr>
                <w:sz w:val="22"/>
                <w:szCs w:val="22"/>
                <w:lang w:val="en-US"/>
              </w:rPr>
              <w:t>AC</w:t>
            </w:r>
            <w:r w:rsidRPr="00095081">
              <w:rPr>
                <w:sz w:val="22"/>
                <w:szCs w:val="22"/>
              </w:rPr>
              <w:t>-</w:t>
            </w:r>
            <w:r w:rsidRPr="00095081">
              <w:rPr>
                <w:sz w:val="22"/>
                <w:szCs w:val="22"/>
                <w:lang w:val="en-US"/>
              </w:rPr>
              <w:t>HD</w:t>
            </w:r>
            <w:r w:rsidRPr="0009508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3F7A53F" w14:textId="77777777" w:rsidR="002C735C" w:rsidRPr="000950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950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9492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9492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9492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94922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5081" w14:paraId="2EB93362" w14:textId="77777777" w:rsidTr="00B50E5A">
        <w:tc>
          <w:tcPr>
            <w:tcW w:w="562" w:type="dxa"/>
          </w:tcPr>
          <w:p w14:paraId="1554461E" w14:textId="77777777" w:rsidR="00095081" w:rsidRPr="009E6058" w:rsidRDefault="00095081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12A10C" w14:textId="77777777" w:rsidR="00095081" w:rsidRPr="00095081" w:rsidRDefault="00095081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508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94922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9508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508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94922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9508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95081" w14:paraId="5A1C9382" w14:textId="77777777" w:rsidTr="00801458">
        <w:tc>
          <w:tcPr>
            <w:tcW w:w="2336" w:type="dxa"/>
          </w:tcPr>
          <w:p w14:paraId="4C518DAB" w14:textId="77777777" w:rsidR="005D65A5" w:rsidRPr="00095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508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95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508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95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508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95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50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95081" w14:paraId="07658034" w14:textId="77777777" w:rsidTr="00801458">
        <w:tc>
          <w:tcPr>
            <w:tcW w:w="2336" w:type="dxa"/>
          </w:tcPr>
          <w:p w14:paraId="1553D698" w14:textId="78F29BFB" w:rsidR="005D65A5" w:rsidRPr="000950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95081" w:rsidRDefault="007478E0" w:rsidP="00801458">
            <w:pPr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95081" w:rsidRDefault="007478E0" w:rsidP="00801458">
            <w:pPr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95081" w:rsidRDefault="007478E0" w:rsidP="00801458">
            <w:pPr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95081" w14:paraId="153F1AA5" w14:textId="77777777" w:rsidTr="00801458">
        <w:tc>
          <w:tcPr>
            <w:tcW w:w="2336" w:type="dxa"/>
          </w:tcPr>
          <w:p w14:paraId="307BE95A" w14:textId="77777777" w:rsidR="005D65A5" w:rsidRPr="000950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B3FA90" w14:textId="77777777" w:rsidR="005D65A5" w:rsidRPr="00095081" w:rsidRDefault="007478E0" w:rsidP="00801458">
            <w:pPr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A02A1F" w14:textId="77777777" w:rsidR="005D65A5" w:rsidRPr="00095081" w:rsidRDefault="007478E0" w:rsidP="00801458">
            <w:pPr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E7CCFDC" w14:textId="77777777" w:rsidR="005D65A5" w:rsidRPr="00095081" w:rsidRDefault="007478E0" w:rsidP="00801458">
            <w:pPr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095081" w14:paraId="2B01B995" w14:textId="77777777" w:rsidTr="00801458">
        <w:tc>
          <w:tcPr>
            <w:tcW w:w="2336" w:type="dxa"/>
          </w:tcPr>
          <w:p w14:paraId="30EDD8D3" w14:textId="77777777" w:rsidR="005D65A5" w:rsidRPr="000950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A3E8ED" w14:textId="77777777" w:rsidR="005D65A5" w:rsidRPr="00095081" w:rsidRDefault="007478E0" w:rsidP="00801458">
            <w:pPr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2B9082" w14:textId="77777777" w:rsidR="005D65A5" w:rsidRPr="00095081" w:rsidRDefault="007478E0" w:rsidP="00801458">
            <w:pPr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539ED9" w14:textId="77777777" w:rsidR="005D65A5" w:rsidRPr="00095081" w:rsidRDefault="007478E0" w:rsidP="00801458">
            <w:pPr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9508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9508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9492223"/>
      <w:r w:rsidRPr="0009508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9508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5081" w:rsidRPr="00095081" w14:paraId="2239480A" w14:textId="77777777" w:rsidTr="00B50E5A">
        <w:tc>
          <w:tcPr>
            <w:tcW w:w="562" w:type="dxa"/>
          </w:tcPr>
          <w:p w14:paraId="01A42F4E" w14:textId="77777777" w:rsidR="00095081" w:rsidRPr="00095081" w:rsidRDefault="00095081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B76F66" w14:textId="77777777" w:rsidR="00095081" w:rsidRPr="00095081" w:rsidRDefault="00095081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508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F51145" w14:textId="77777777" w:rsidR="00095081" w:rsidRPr="00095081" w:rsidRDefault="0009508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9508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9492224"/>
      <w:r w:rsidRPr="0009508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9508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9508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95081" w14:paraId="0267C479" w14:textId="77777777" w:rsidTr="00801458">
        <w:tc>
          <w:tcPr>
            <w:tcW w:w="2500" w:type="pct"/>
          </w:tcPr>
          <w:p w14:paraId="37F699C9" w14:textId="77777777" w:rsidR="00B8237E" w:rsidRPr="000950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508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950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50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95081" w14:paraId="3F240151" w14:textId="77777777" w:rsidTr="00801458">
        <w:tc>
          <w:tcPr>
            <w:tcW w:w="2500" w:type="pct"/>
          </w:tcPr>
          <w:p w14:paraId="61E91592" w14:textId="61A0874C" w:rsidR="00B8237E" w:rsidRPr="000950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95081" w:rsidRDefault="005C548A" w:rsidP="00801458">
            <w:pPr>
              <w:rPr>
                <w:rFonts w:ascii="Times New Roman" w:hAnsi="Times New Roman" w:cs="Times New Roman"/>
              </w:rPr>
            </w:pPr>
            <w:r w:rsidRPr="0009508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9508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94922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7759E" w14:textId="77777777" w:rsidR="00F22914" w:rsidRDefault="00F22914" w:rsidP="00315CA6">
      <w:pPr>
        <w:spacing w:after="0" w:line="240" w:lineRule="auto"/>
      </w:pPr>
      <w:r>
        <w:separator/>
      </w:r>
    </w:p>
  </w:endnote>
  <w:endnote w:type="continuationSeparator" w:id="0">
    <w:p w14:paraId="0143CE43" w14:textId="77777777" w:rsidR="00F22914" w:rsidRDefault="00F229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08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92E2E" w14:textId="77777777" w:rsidR="00F22914" w:rsidRDefault="00F22914" w:rsidP="00315CA6">
      <w:pPr>
        <w:spacing w:after="0" w:line="240" w:lineRule="auto"/>
      </w:pPr>
      <w:r>
        <w:separator/>
      </w:r>
    </w:p>
  </w:footnote>
  <w:footnote w:type="continuationSeparator" w:id="0">
    <w:p w14:paraId="30DEA2BD" w14:textId="77777777" w:rsidR="00F22914" w:rsidRDefault="00F229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5081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291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8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8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7506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reader.lanbook.com/book/51312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574184-C004-4C96-8C40-BFFB54A9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15</Pages>
  <Words>4051</Words>
  <Characters>23096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